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C55" w:rsidRPr="009F18C9" w:rsidRDefault="003113B9" w:rsidP="00D96EA3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2014</w:t>
      </w:r>
      <w:r w:rsidR="00F65360" w:rsidRPr="009F18C9">
        <w:rPr>
          <w:rFonts w:cs="Times New Roman"/>
          <w:szCs w:val="24"/>
        </w:rPr>
        <w:t xml:space="preserve"> </w:t>
      </w:r>
      <w:r w:rsidR="00D62499" w:rsidRPr="009F18C9">
        <w:rPr>
          <w:rFonts w:cs="Times New Roman"/>
          <w:szCs w:val="24"/>
        </w:rPr>
        <w:t>Total Gap Discount Amount by Drug Therapeutic Use</w:t>
      </w:r>
    </w:p>
    <w:p w:rsidR="00D62499" w:rsidRPr="009F18C9" w:rsidRDefault="00D62499" w:rsidP="00D96EA3">
      <w:pPr>
        <w:spacing w:line="240" w:lineRule="auto"/>
        <w:rPr>
          <w:rFonts w:cs="Times New Roman"/>
          <w:szCs w:val="24"/>
        </w:rPr>
      </w:pPr>
    </w:p>
    <w:p w:rsidR="00D62499" w:rsidRPr="009F18C9" w:rsidRDefault="00D62499" w:rsidP="00D96EA3">
      <w:pPr>
        <w:spacing w:line="240" w:lineRule="auto"/>
        <w:rPr>
          <w:rFonts w:cs="Times New Roman"/>
          <w:szCs w:val="24"/>
        </w:rPr>
      </w:pPr>
      <w:r w:rsidRPr="009F18C9">
        <w:rPr>
          <w:rFonts w:cs="Times New Roman"/>
          <w:szCs w:val="24"/>
        </w:rPr>
        <w:t xml:space="preserve">The excel pie chart in this </w:t>
      </w:r>
      <w:proofErr w:type="spellStart"/>
      <w:r w:rsidRPr="009F18C9">
        <w:rPr>
          <w:rFonts w:cs="Times New Roman"/>
          <w:szCs w:val="24"/>
        </w:rPr>
        <w:t>winzip</w:t>
      </w:r>
      <w:proofErr w:type="spellEnd"/>
      <w:r w:rsidRPr="009F18C9">
        <w:rPr>
          <w:rFonts w:cs="Times New Roman"/>
          <w:szCs w:val="24"/>
        </w:rPr>
        <w:t xml:space="preserve"> file shows the </w:t>
      </w:r>
      <w:r w:rsidR="00F65360" w:rsidRPr="009F18C9">
        <w:rPr>
          <w:rFonts w:cs="Times New Roman"/>
          <w:szCs w:val="24"/>
        </w:rPr>
        <w:t>201</w:t>
      </w:r>
      <w:r w:rsidR="000F408B">
        <w:rPr>
          <w:rFonts w:cs="Times New Roman"/>
          <w:szCs w:val="24"/>
        </w:rPr>
        <w:t>4</w:t>
      </w:r>
      <w:r w:rsidR="00F65360" w:rsidRPr="009F18C9">
        <w:rPr>
          <w:rFonts w:cs="Times New Roman"/>
          <w:szCs w:val="24"/>
        </w:rPr>
        <w:t xml:space="preserve"> </w:t>
      </w:r>
      <w:r w:rsidRPr="009F18C9">
        <w:rPr>
          <w:rFonts w:cs="Times New Roman"/>
          <w:szCs w:val="24"/>
        </w:rPr>
        <w:t>total gap discount amount by drug ther</w:t>
      </w:r>
      <w:r w:rsidR="00F65360" w:rsidRPr="009F18C9">
        <w:rPr>
          <w:rFonts w:cs="Times New Roman"/>
          <w:szCs w:val="24"/>
        </w:rPr>
        <w:t>apeutic use from January 1, 201</w:t>
      </w:r>
      <w:r w:rsidR="000F408B">
        <w:rPr>
          <w:rFonts w:cs="Times New Roman"/>
          <w:szCs w:val="24"/>
        </w:rPr>
        <w:t>4</w:t>
      </w:r>
      <w:r w:rsidRPr="009F18C9">
        <w:rPr>
          <w:rFonts w:cs="Times New Roman"/>
          <w:szCs w:val="24"/>
        </w:rPr>
        <w:t xml:space="preserve"> through </w:t>
      </w:r>
      <w:r w:rsidR="004E5FA6">
        <w:rPr>
          <w:rFonts w:cs="Times New Roman"/>
          <w:szCs w:val="24"/>
        </w:rPr>
        <w:t>December</w:t>
      </w:r>
      <w:r w:rsidR="003678F6">
        <w:rPr>
          <w:rFonts w:cs="Times New Roman"/>
          <w:szCs w:val="24"/>
        </w:rPr>
        <w:t xml:space="preserve"> 31</w:t>
      </w:r>
      <w:r w:rsidR="00BF3EB2" w:rsidRPr="009F18C9">
        <w:rPr>
          <w:rFonts w:cs="Times New Roman"/>
          <w:szCs w:val="24"/>
        </w:rPr>
        <w:t>,</w:t>
      </w:r>
      <w:r w:rsidR="00FA12B0" w:rsidRPr="009F18C9">
        <w:rPr>
          <w:rFonts w:cs="Times New Roman"/>
          <w:szCs w:val="24"/>
        </w:rPr>
        <w:t xml:space="preserve"> 201</w:t>
      </w:r>
      <w:r w:rsidR="000F408B">
        <w:rPr>
          <w:rFonts w:cs="Times New Roman"/>
          <w:szCs w:val="24"/>
        </w:rPr>
        <w:t>5</w:t>
      </w:r>
      <w:r w:rsidRPr="009F18C9">
        <w:rPr>
          <w:rFonts w:cs="Times New Roman"/>
          <w:szCs w:val="24"/>
        </w:rPr>
        <w:t>.  The data collected during this time period shows the following:</w:t>
      </w:r>
    </w:p>
    <w:p w:rsidR="0060685C" w:rsidRPr="009F18C9" w:rsidRDefault="0060685C" w:rsidP="00D96EA3">
      <w:pPr>
        <w:spacing w:line="240" w:lineRule="auto"/>
        <w:rPr>
          <w:rFonts w:cs="Times New Roman"/>
          <w:szCs w:val="24"/>
        </w:rPr>
      </w:pPr>
    </w:p>
    <w:p w:rsidR="0060685C" w:rsidRPr="009F18C9" w:rsidRDefault="0060685C" w:rsidP="00C266CB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 xml:space="preserve">Blood Sugar Lowering Drugs: </w:t>
      </w:r>
      <w:r w:rsidR="00C266CB" w:rsidRPr="00C266CB">
        <w:rPr>
          <w:rFonts w:ascii="Times New Roman" w:hAnsi="Times New Roman" w:cs="Times New Roman"/>
        </w:rPr>
        <w:t>$1,118,775,026.80</w:t>
      </w:r>
    </w:p>
    <w:p w:rsidR="0060685C" w:rsidRPr="009F18C9" w:rsidRDefault="0060685C" w:rsidP="00C266CB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>Asthma and Other Lung Rela</w:t>
      </w:r>
      <w:r w:rsidR="000B454E" w:rsidRPr="009F18C9">
        <w:rPr>
          <w:rFonts w:ascii="Times New Roman" w:hAnsi="Times New Roman" w:cs="Times New Roman"/>
        </w:rPr>
        <w:t>te</w:t>
      </w:r>
      <w:r w:rsidR="009147AF" w:rsidRPr="009F18C9">
        <w:rPr>
          <w:rFonts w:ascii="Times New Roman" w:hAnsi="Times New Roman" w:cs="Times New Roman"/>
        </w:rPr>
        <w:t>d</w:t>
      </w:r>
      <w:r w:rsidR="000B454E" w:rsidRPr="009F18C9">
        <w:rPr>
          <w:rFonts w:ascii="Times New Roman" w:hAnsi="Times New Roman" w:cs="Times New Roman"/>
        </w:rPr>
        <w:t xml:space="preserve"> (non-cancer) Disease Drugs:</w:t>
      </w:r>
      <w:r w:rsidR="00C44025">
        <w:rPr>
          <w:rFonts w:ascii="Times New Roman" w:hAnsi="Times New Roman" w:cs="Times New Roman"/>
        </w:rPr>
        <w:t xml:space="preserve"> </w:t>
      </w:r>
      <w:r w:rsidR="00C266CB" w:rsidRPr="00C266CB">
        <w:rPr>
          <w:rFonts w:ascii="Times New Roman" w:hAnsi="Times New Roman" w:cs="Times New Roman"/>
        </w:rPr>
        <w:t>$565,589,452.58</w:t>
      </w:r>
      <w:r w:rsidR="00C44025">
        <w:rPr>
          <w:rFonts w:ascii="Times New Roman" w:hAnsi="Times New Roman" w:cs="Times New Roman"/>
        </w:rPr>
        <w:t xml:space="preserve"> </w:t>
      </w:r>
    </w:p>
    <w:p w:rsidR="00BA7EDB" w:rsidRPr="009F18C9" w:rsidRDefault="00BA7EDB" w:rsidP="00C266CB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>Triglyceride and Cholesterol Lowering Drugs:</w:t>
      </w:r>
      <w:r w:rsidR="00E07CE2" w:rsidRPr="009F18C9">
        <w:rPr>
          <w:rFonts w:ascii="Times New Roman" w:hAnsi="Times New Roman" w:cs="Times New Roman"/>
        </w:rPr>
        <w:t xml:space="preserve"> </w:t>
      </w:r>
      <w:r w:rsidR="00C266CB" w:rsidRPr="00C266CB">
        <w:rPr>
          <w:rFonts w:ascii="Times New Roman" w:hAnsi="Times New Roman" w:cs="Times New Roman"/>
        </w:rPr>
        <w:t>$389,567,462.71</w:t>
      </w:r>
    </w:p>
    <w:p w:rsidR="00C266CB" w:rsidRPr="00C44025" w:rsidRDefault="00C266CB" w:rsidP="00C266CB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C44025">
        <w:rPr>
          <w:rFonts w:cs="Times New Roman"/>
          <w:color w:val="000000"/>
          <w:szCs w:val="24"/>
          <w:lang w:bidi="ar-SA"/>
        </w:rPr>
        <w:t xml:space="preserve">Drugs Used to Prevent or Treat Blood Clots: </w:t>
      </w:r>
      <w:r w:rsidRPr="00C266CB">
        <w:rPr>
          <w:rFonts w:cs="Times New Roman"/>
          <w:color w:val="000000"/>
          <w:szCs w:val="24"/>
          <w:lang w:bidi="ar-SA"/>
        </w:rPr>
        <w:t>$247,724,106.71</w:t>
      </w:r>
    </w:p>
    <w:p w:rsidR="00C266CB" w:rsidRDefault="00C266CB" w:rsidP="00C266CB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9F18C9">
        <w:rPr>
          <w:rFonts w:cs="Times New Roman"/>
          <w:color w:val="000000"/>
          <w:szCs w:val="24"/>
          <w:lang w:bidi="ar-SA"/>
        </w:rPr>
        <w:t>Cancer Drugs:</w:t>
      </w:r>
      <w:r w:rsidRPr="00C44025">
        <w:t xml:space="preserve"> </w:t>
      </w:r>
      <w:r w:rsidRPr="00C266CB">
        <w:t>$229,359,447.15</w:t>
      </w:r>
    </w:p>
    <w:p w:rsidR="00C266CB" w:rsidRPr="009F18C9" w:rsidRDefault="00C266CB" w:rsidP="00C266CB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 xml:space="preserve">Anti-dementia Drugs: </w:t>
      </w:r>
      <w:r w:rsidRPr="00C266CB">
        <w:rPr>
          <w:rFonts w:ascii="Times New Roman" w:hAnsi="Times New Roman" w:cs="Times New Roman"/>
        </w:rPr>
        <w:t>$228,133,753.98</w:t>
      </w:r>
    </w:p>
    <w:p w:rsidR="00C266CB" w:rsidRPr="0043238C" w:rsidRDefault="00C266CB" w:rsidP="00C266CB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43238C">
        <w:rPr>
          <w:rFonts w:cs="Times New Roman"/>
          <w:color w:val="000000"/>
          <w:szCs w:val="24"/>
          <w:lang w:bidi="ar-SA"/>
        </w:rPr>
        <w:t xml:space="preserve">Drugs Used to Lower Blood Pressure: </w:t>
      </w:r>
      <w:r w:rsidRPr="00C266CB">
        <w:rPr>
          <w:rFonts w:cs="Times New Roman"/>
          <w:color w:val="000000"/>
          <w:szCs w:val="24"/>
          <w:lang w:bidi="ar-SA"/>
        </w:rPr>
        <w:t>$202,891,979.78</w:t>
      </w:r>
    </w:p>
    <w:p w:rsidR="00C266CB" w:rsidRDefault="00C266CB" w:rsidP="00C266CB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43238C">
        <w:rPr>
          <w:rFonts w:cs="Times New Roman"/>
          <w:color w:val="000000"/>
          <w:szCs w:val="24"/>
          <w:lang w:bidi="ar-SA"/>
        </w:rPr>
        <w:t xml:space="preserve">Drugs Used to Treat Ulcers: </w:t>
      </w:r>
      <w:r w:rsidRPr="00C266CB">
        <w:rPr>
          <w:rFonts w:cs="Times New Roman"/>
          <w:color w:val="000000"/>
          <w:szCs w:val="24"/>
          <w:lang w:bidi="ar-SA"/>
        </w:rPr>
        <w:t>$185,683,536.16</w:t>
      </w:r>
    </w:p>
    <w:p w:rsidR="00C266CB" w:rsidRPr="00C266CB" w:rsidRDefault="00C266CB" w:rsidP="00C266CB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C266CB">
        <w:rPr>
          <w:rFonts w:cs="Times New Roman"/>
          <w:color w:val="000000"/>
          <w:szCs w:val="24"/>
          <w:lang w:bidi="ar-SA"/>
        </w:rPr>
        <w:t>Autoimmune Disease Anti-inflammatory Drugs:</w:t>
      </w:r>
      <w:r w:rsidRPr="00C266CB">
        <w:rPr>
          <w:rFonts w:cs="Times New Roman"/>
        </w:rPr>
        <w:t xml:space="preserve"> </w:t>
      </w:r>
      <w:r w:rsidRPr="00C266CB">
        <w:rPr>
          <w:rFonts w:cs="Times New Roman"/>
          <w:color w:val="000000"/>
          <w:szCs w:val="24"/>
          <w:lang w:bidi="ar-SA"/>
        </w:rPr>
        <w:t>$130,073,262.31</w:t>
      </w:r>
    </w:p>
    <w:p w:rsidR="00C266CB" w:rsidRDefault="00C266CB" w:rsidP="00C266CB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C266CB">
        <w:rPr>
          <w:rFonts w:cs="Times New Roman"/>
          <w:color w:val="000000"/>
          <w:szCs w:val="24"/>
          <w:lang w:bidi="ar-SA"/>
        </w:rPr>
        <w:t>Drugs Used to Prevent or Treat</w:t>
      </w:r>
      <w:r w:rsidRPr="00C266CB">
        <w:t xml:space="preserve"> </w:t>
      </w:r>
      <w:r w:rsidRPr="00C266CB">
        <w:rPr>
          <w:rFonts w:cs="Times New Roman"/>
          <w:color w:val="000000"/>
          <w:szCs w:val="24"/>
          <w:lang w:bidi="ar-SA"/>
        </w:rPr>
        <w:t>Seizures</w:t>
      </w:r>
      <w:r>
        <w:rPr>
          <w:rFonts w:cs="Times New Roman"/>
          <w:color w:val="000000"/>
          <w:szCs w:val="24"/>
          <w:lang w:bidi="ar-SA"/>
        </w:rPr>
        <w:t xml:space="preserve">: </w:t>
      </w:r>
      <w:r w:rsidRPr="00C266CB">
        <w:rPr>
          <w:rFonts w:cs="Times New Roman"/>
          <w:color w:val="000000"/>
          <w:szCs w:val="24"/>
          <w:lang w:bidi="ar-SA"/>
        </w:rPr>
        <w:t>$126,290,144.17</w:t>
      </w:r>
      <w:bookmarkStart w:id="0" w:name="_GoBack"/>
      <w:bookmarkEnd w:id="0"/>
    </w:p>
    <w:p w:rsidR="0060685C" w:rsidRPr="009F18C9" w:rsidRDefault="0060685C" w:rsidP="00C266CB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9F18C9">
        <w:rPr>
          <w:rFonts w:ascii="Times New Roman" w:hAnsi="Times New Roman" w:cs="Times New Roman"/>
        </w:rPr>
        <w:t>All Other Drug Therapeutic Uses</w:t>
      </w:r>
      <w:r w:rsidR="00BA7EDB" w:rsidRPr="009F18C9">
        <w:rPr>
          <w:rFonts w:ascii="Times New Roman" w:hAnsi="Times New Roman" w:cs="Times New Roman"/>
        </w:rPr>
        <w:t>:</w:t>
      </w:r>
      <w:r w:rsidRPr="009F18C9">
        <w:rPr>
          <w:rFonts w:ascii="Times New Roman" w:hAnsi="Times New Roman" w:cs="Times New Roman"/>
        </w:rPr>
        <w:t xml:space="preserve"> </w:t>
      </w:r>
      <w:r w:rsidR="00C266CB" w:rsidRPr="00C266CB">
        <w:rPr>
          <w:rFonts w:ascii="Times New Roman" w:hAnsi="Times New Roman" w:cs="Times New Roman"/>
        </w:rPr>
        <w:t>$1,703,684,692.84</w:t>
      </w:r>
    </w:p>
    <w:p w:rsidR="0060685C" w:rsidRPr="00BA7EDB" w:rsidRDefault="0060685C">
      <w:pPr>
        <w:pStyle w:val="Default"/>
        <w:rPr>
          <w:rFonts w:ascii="Times New Roman" w:hAnsi="Times New Roman" w:cs="Times New Roman"/>
        </w:rPr>
      </w:pPr>
    </w:p>
    <w:sectPr w:rsidR="0060685C" w:rsidRPr="00BA7EDB" w:rsidSect="008E3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376F"/>
    <w:multiLevelType w:val="hybridMultilevel"/>
    <w:tmpl w:val="4B06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736"/>
    <w:multiLevelType w:val="hybridMultilevel"/>
    <w:tmpl w:val="B0FA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23FBE"/>
    <w:multiLevelType w:val="hybridMultilevel"/>
    <w:tmpl w:val="5B0A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91905"/>
    <w:multiLevelType w:val="hybridMultilevel"/>
    <w:tmpl w:val="1AE87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D5378"/>
    <w:multiLevelType w:val="hybridMultilevel"/>
    <w:tmpl w:val="BC882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30535"/>
    <w:multiLevelType w:val="hybridMultilevel"/>
    <w:tmpl w:val="F3CA5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715F1"/>
    <w:multiLevelType w:val="hybridMultilevel"/>
    <w:tmpl w:val="EB70C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970EEF"/>
    <w:multiLevelType w:val="hybridMultilevel"/>
    <w:tmpl w:val="528AE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F51DAA"/>
    <w:multiLevelType w:val="hybridMultilevel"/>
    <w:tmpl w:val="5C767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B5A3E"/>
    <w:multiLevelType w:val="hybridMultilevel"/>
    <w:tmpl w:val="9484F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99"/>
    <w:rsid w:val="00000FDA"/>
    <w:rsid w:val="00014274"/>
    <w:rsid w:val="00015525"/>
    <w:rsid w:val="0006104E"/>
    <w:rsid w:val="000A76B9"/>
    <w:rsid w:val="000B454E"/>
    <w:rsid w:val="000F408B"/>
    <w:rsid w:val="00116262"/>
    <w:rsid w:val="00116EF8"/>
    <w:rsid w:val="00134464"/>
    <w:rsid w:val="0014497C"/>
    <w:rsid w:val="00186BB6"/>
    <w:rsid w:val="001C057F"/>
    <w:rsid w:val="002211E1"/>
    <w:rsid w:val="002349C1"/>
    <w:rsid w:val="002B613C"/>
    <w:rsid w:val="002C24F5"/>
    <w:rsid w:val="003113B9"/>
    <w:rsid w:val="00311903"/>
    <w:rsid w:val="00343BBC"/>
    <w:rsid w:val="0036337D"/>
    <w:rsid w:val="00366DD7"/>
    <w:rsid w:val="003678F6"/>
    <w:rsid w:val="0037754D"/>
    <w:rsid w:val="003856F2"/>
    <w:rsid w:val="003C22AF"/>
    <w:rsid w:val="003C2F2E"/>
    <w:rsid w:val="003E776B"/>
    <w:rsid w:val="003F4DD9"/>
    <w:rsid w:val="0042062D"/>
    <w:rsid w:val="0043238C"/>
    <w:rsid w:val="00443337"/>
    <w:rsid w:val="004666A0"/>
    <w:rsid w:val="00473DD6"/>
    <w:rsid w:val="004C1B90"/>
    <w:rsid w:val="004E4549"/>
    <w:rsid w:val="004E5FA6"/>
    <w:rsid w:val="004F056B"/>
    <w:rsid w:val="00505ACC"/>
    <w:rsid w:val="00535048"/>
    <w:rsid w:val="0058305A"/>
    <w:rsid w:val="005B09CC"/>
    <w:rsid w:val="005F1B0E"/>
    <w:rsid w:val="005F6833"/>
    <w:rsid w:val="0060685C"/>
    <w:rsid w:val="00642F2F"/>
    <w:rsid w:val="006566A5"/>
    <w:rsid w:val="006773F2"/>
    <w:rsid w:val="006859B3"/>
    <w:rsid w:val="0071282C"/>
    <w:rsid w:val="007167D3"/>
    <w:rsid w:val="007323C9"/>
    <w:rsid w:val="00732A3B"/>
    <w:rsid w:val="007568C2"/>
    <w:rsid w:val="007743CB"/>
    <w:rsid w:val="00783F22"/>
    <w:rsid w:val="007B65D7"/>
    <w:rsid w:val="007D00B1"/>
    <w:rsid w:val="007E53D2"/>
    <w:rsid w:val="008E3C55"/>
    <w:rsid w:val="009147AF"/>
    <w:rsid w:val="009302EE"/>
    <w:rsid w:val="0095602A"/>
    <w:rsid w:val="009C0B29"/>
    <w:rsid w:val="009F18C9"/>
    <w:rsid w:val="00A04E85"/>
    <w:rsid w:val="00A350A1"/>
    <w:rsid w:val="00A808D1"/>
    <w:rsid w:val="00B01B6B"/>
    <w:rsid w:val="00B667F0"/>
    <w:rsid w:val="00B73BDF"/>
    <w:rsid w:val="00BA10DC"/>
    <w:rsid w:val="00BA7EDB"/>
    <w:rsid w:val="00BD156F"/>
    <w:rsid w:val="00BE0419"/>
    <w:rsid w:val="00BF07B3"/>
    <w:rsid w:val="00BF3EB2"/>
    <w:rsid w:val="00BF7B2F"/>
    <w:rsid w:val="00C266CB"/>
    <w:rsid w:val="00C44025"/>
    <w:rsid w:val="00C441DE"/>
    <w:rsid w:val="00C600E5"/>
    <w:rsid w:val="00C6251F"/>
    <w:rsid w:val="00C830BE"/>
    <w:rsid w:val="00C84FAD"/>
    <w:rsid w:val="00D62499"/>
    <w:rsid w:val="00D805D7"/>
    <w:rsid w:val="00D96EA3"/>
    <w:rsid w:val="00DA22C8"/>
    <w:rsid w:val="00DD6B1F"/>
    <w:rsid w:val="00DE6B12"/>
    <w:rsid w:val="00DF2544"/>
    <w:rsid w:val="00E07B7E"/>
    <w:rsid w:val="00E07CE2"/>
    <w:rsid w:val="00EB766F"/>
    <w:rsid w:val="00ED7013"/>
    <w:rsid w:val="00EE2CA1"/>
    <w:rsid w:val="00EE5980"/>
    <w:rsid w:val="00F22032"/>
    <w:rsid w:val="00F40960"/>
    <w:rsid w:val="00F65360"/>
    <w:rsid w:val="00FA12B0"/>
    <w:rsid w:val="00FE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59B3DF-DA5C-43F6-962C-1F537DDA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8D1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41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4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4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4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41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41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4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41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41DE"/>
    <w:rPr>
      <w:b/>
      <w:bCs/>
    </w:rPr>
  </w:style>
  <w:style w:type="character" w:styleId="Emphasis">
    <w:name w:val="Emphasis"/>
    <w:basedOn w:val="DefaultParagraphFont"/>
    <w:uiPriority w:val="20"/>
    <w:qFormat/>
    <w:rsid w:val="00C441DE"/>
    <w:rPr>
      <w:i/>
      <w:iCs/>
    </w:rPr>
  </w:style>
  <w:style w:type="paragraph" w:styleId="NoSpacing">
    <w:name w:val="No Spacing"/>
    <w:uiPriority w:val="1"/>
    <w:qFormat/>
    <w:rsid w:val="00C44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1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41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41D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D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441D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441D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41D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41D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41D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1D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24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paragraph" w:customStyle="1" w:styleId="Default">
    <w:name w:val="Default"/>
    <w:rsid w:val="00D96E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Scott</dc:creator>
  <cp:lastModifiedBy>Rebecca Paul</cp:lastModifiedBy>
  <cp:revision>7</cp:revision>
  <dcterms:created xsi:type="dcterms:W3CDTF">2015-02-10T18:08:00Z</dcterms:created>
  <dcterms:modified xsi:type="dcterms:W3CDTF">2016-01-27T20:44:00Z</dcterms:modified>
</cp:coreProperties>
</file>